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BCFC6">
      <w:pPr>
        <w:spacing w:line="560" w:lineRule="exact"/>
        <w:jc w:val="center"/>
        <w:rPr>
          <w:rFonts w:hint="eastAsia" w:ascii="方正小标宋简体" w:hAnsi="黑体" w:eastAsia="方正小标宋简体" w:cs="仿宋_GB2312"/>
          <w:color w:val="000000"/>
          <w:spacing w:val="-6"/>
          <w:sz w:val="30"/>
          <w:szCs w:val="30"/>
        </w:rPr>
      </w:pPr>
      <w:r>
        <w:rPr>
          <w:rFonts w:hint="eastAsia" w:ascii="方正小标宋简体" w:hAnsi="黑体" w:eastAsia="方正小标宋简体" w:cs="仿宋_GB2312"/>
          <w:color w:val="000000"/>
          <w:sz w:val="30"/>
          <w:szCs w:val="30"/>
        </w:rPr>
        <w:t>“揭榜挂帅”项目榜单</w:t>
      </w:r>
    </w:p>
    <w:tbl>
      <w:tblPr>
        <w:tblStyle w:val="7"/>
        <w:tblW w:w="60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8363"/>
      </w:tblGrid>
      <w:tr w14:paraId="387D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vAlign w:val="center"/>
          </w:tcPr>
          <w:p w14:paraId="283EB39A">
            <w:pPr>
              <w:jc w:val="center"/>
              <w:rPr>
                <w:rFonts w:hint="eastAsia" w:ascii="黑体" w:hAnsi="黑体" w:eastAsia="黑体"/>
                <w:color w:val="000000"/>
                <w:spacing w:val="-6"/>
                <w:sz w:val="24"/>
                <w:szCs w:val="24"/>
              </w:rPr>
            </w:pPr>
            <w:r>
              <w:rPr>
                <w:rFonts w:ascii="黑体" w:hAnsi="黑体" w:eastAsia="黑体"/>
                <w:color w:val="000000"/>
                <w:spacing w:val="-6"/>
                <w:sz w:val="24"/>
                <w:szCs w:val="24"/>
              </w:rPr>
              <w:t>项目名称</w:t>
            </w:r>
          </w:p>
        </w:tc>
        <w:tc>
          <w:tcPr>
            <w:tcW w:w="8363" w:type="dxa"/>
            <w:vAlign w:val="center"/>
          </w:tcPr>
          <w:p w14:paraId="087CD82A">
            <w:pPr>
              <w:adjustRightInd w:val="0"/>
              <w:snapToGrid w:val="0"/>
              <w:spacing w:line="500" w:lineRule="exact"/>
              <w:jc w:val="center"/>
              <w:rPr>
                <w:rFonts w:eastAsia="仿宋"/>
                <w:color w:val="000000"/>
                <w:spacing w:val="-6"/>
                <w:sz w:val="28"/>
                <w:szCs w:val="28"/>
              </w:rPr>
            </w:pPr>
            <w:r>
              <w:rPr>
                <w:rFonts w:hint="eastAsia" w:eastAsia="仿宋"/>
                <w:color w:val="000000"/>
                <w:spacing w:val="-6"/>
                <w:sz w:val="28"/>
                <w:szCs w:val="28"/>
              </w:rPr>
              <w:t>中深层地热发电“蓄-采-发”系统多场耦合演化及多维综合评价</w:t>
            </w:r>
          </w:p>
        </w:tc>
      </w:tr>
      <w:tr w14:paraId="4673A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vAlign w:val="center"/>
          </w:tcPr>
          <w:p w14:paraId="428E2175">
            <w:pPr>
              <w:jc w:val="center"/>
              <w:rPr>
                <w:rFonts w:hint="eastAsia" w:ascii="黑体" w:hAnsi="黑体" w:eastAsia="黑体"/>
                <w:color w:val="000000"/>
                <w:spacing w:val="-6"/>
                <w:sz w:val="24"/>
                <w:szCs w:val="24"/>
              </w:rPr>
            </w:pPr>
            <w:r>
              <w:rPr>
                <w:rFonts w:ascii="黑体" w:hAnsi="黑体" w:eastAsia="黑体"/>
                <w:color w:val="000000"/>
                <w:spacing w:val="-6"/>
                <w:sz w:val="24"/>
                <w:szCs w:val="24"/>
              </w:rPr>
              <w:t>研究时限</w:t>
            </w:r>
          </w:p>
        </w:tc>
        <w:tc>
          <w:tcPr>
            <w:tcW w:w="8363" w:type="dxa"/>
            <w:vAlign w:val="center"/>
          </w:tcPr>
          <w:p w14:paraId="61A65E11">
            <w:pPr>
              <w:spacing w:line="360" w:lineRule="auto"/>
              <w:jc w:val="center"/>
              <w:rPr>
                <w:rFonts w:eastAsia="仿宋"/>
                <w:color w:val="000000"/>
                <w:spacing w:val="-6"/>
                <w:sz w:val="28"/>
                <w:szCs w:val="28"/>
              </w:rPr>
            </w:pPr>
            <w:r>
              <w:rPr>
                <w:rFonts w:eastAsia="仿宋"/>
                <w:color w:val="000000"/>
                <w:spacing w:val="-6"/>
                <w:sz w:val="28"/>
                <w:szCs w:val="28"/>
              </w:rPr>
              <w:t>合同签订后</w:t>
            </w:r>
            <w:r>
              <w:rPr>
                <w:rFonts w:hint="eastAsia" w:eastAsia="仿宋"/>
                <w:color w:val="000000"/>
                <w:spacing w:val="-6"/>
                <w:sz w:val="28"/>
                <w:szCs w:val="28"/>
              </w:rPr>
              <w:t>12</w:t>
            </w:r>
            <w:r>
              <w:rPr>
                <w:rFonts w:eastAsia="仿宋"/>
                <w:color w:val="000000"/>
                <w:spacing w:val="-6"/>
                <w:sz w:val="28"/>
                <w:szCs w:val="28"/>
              </w:rPr>
              <w:t>个月</w:t>
            </w:r>
          </w:p>
        </w:tc>
      </w:tr>
      <w:tr w14:paraId="2FD64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vAlign w:val="center"/>
          </w:tcPr>
          <w:p w14:paraId="5DD458D3">
            <w:pPr>
              <w:jc w:val="center"/>
              <w:rPr>
                <w:rFonts w:hint="eastAsia" w:ascii="黑体" w:hAnsi="黑体" w:eastAsia="黑体"/>
                <w:color w:val="000000"/>
                <w:spacing w:val="-6"/>
                <w:sz w:val="24"/>
                <w:szCs w:val="24"/>
              </w:rPr>
            </w:pPr>
            <w:r>
              <w:rPr>
                <w:rFonts w:hint="eastAsia" w:ascii="黑体" w:hAnsi="黑体" w:eastAsia="黑体"/>
                <w:color w:val="000000"/>
                <w:spacing w:val="-6"/>
                <w:sz w:val="24"/>
                <w:szCs w:val="24"/>
              </w:rPr>
              <w:t>知识产权归属</w:t>
            </w:r>
          </w:p>
        </w:tc>
        <w:tc>
          <w:tcPr>
            <w:tcW w:w="8363" w:type="dxa"/>
            <w:vAlign w:val="center"/>
          </w:tcPr>
          <w:p w14:paraId="366084DF">
            <w:pPr>
              <w:spacing w:line="360" w:lineRule="auto"/>
              <w:rPr>
                <w:rFonts w:eastAsia="仿宋"/>
                <w:color w:val="000000"/>
                <w:spacing w:val="-6"/>
                <w:sz w:val="28"/>
                <w:szCs w:val="28"/>
              </w:rPr>
            </w:pPr>
            <w:r>
              <w:rPr>
                <w:rFonts w:hint="eastAsia" w:eastAsia="仿宋"/>
                <w:color w:val="000000"/>
                <w:spacing w:val="-6"/>
                <w:sz w:val="28"/>
                <w:szCs w:val="28"/>
              </w:rPr>
              <w:t>知识产权归发榜方所有，揭榜方使用相应知识产权需要发榜方同意。</w:t>
            </w:r>
          </w:p>
        </w:tc>
      </w:tr>
      <w:tr w14:paraId="7BF7A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vAlign w:val="center"/>
          </w:tcPr>
          <w:p w14:paraId="496C6810">
            <w:pPr>
              <w:jc w:val="center"/>
              <w:rPr>
                <w:rFonts w:hint="eastAsia" w:ascii="黑体" w:hAnsi="黑体" w:eastAsia="黑体"/>
                <w:color w:val="000000"/>
                <w:spacing w:val="-6"/>
                <w:sz w:val="24"/>
                <w:szCs w:val="24"/>
              </w:rPr>
            </w:pPr>
            <w:r>
              <w:rPr>
                <w:rFonts w:ascii="黑体" w:hAnsi="黑体" w:eastAsia="黑体"/>
                <w:color w:val="000000"/>
                <w:spacing w:val="-6"/>
                <w:sz w:val="24"/>
                <w:szCs w:val="24"/>
              </w:rPr>
              <w:t>项目经费</w:t>
            </w:r>
          </w:p>
        </w:tc>
        <w:tc>
          <w:tcPr>
            <w:tcW w:w="8363" w:type="dxa"/>
            <w:vAlign w:val="center"/>
          </w:tcPr>
          <w:p w14:paraId="5EE11536">
            <w:pPr>
              <w:spacing w:line="360" w:lineRule="auto"/>
              <w:jc w:val="center"/>
              <w:rPr>
                <w:rFonts w:eastAsia="仿宋"/>
                <w:color w:val="000000"/>
                <w:spacing w:val="-6"/>
                <w:sz w:val="28"/>
                <w:szCs w:val="28"/>
              </w:rPr>
            </w:pPr>
            <w:r>
              <w:rPr>
                <w:rFonts w:hint="eastAsia" w:eastAsia="仿宋"/>
                <w:spacing w:val="-6"/>
                <w:sz w:val="28"/>
                <w:szCs w:val="28"/>
              </w:rPr>
              <w:t>220.00万元</w:t>
            </w:r>
          </w:p>
        </w:tc>
      </w:tr>
      <w:tr w14:paraId="1CAAD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vAlign w:val="center"/>
          </w:tcPr>
          <w:p w14:paraId="678BB834">
            <w:pPr>
              <w:jc w:val="center"/>
              <w:rPr>
                <w:rFonts w:hint="eastAsia" w:ascii="黑体" w:hAnsi="黑体" w:eastAsia="黑体"/>
                <w:color w:val="000000"/>
                <w:spacing w:val="-6"/>
                <w:sz w:val="24"/>
                <w:szCs w:val="24"/>
              </w:rPr>
            </w:pPr>
            <w:r>
              <w:rPr>
                <w:rFonts w:hint="eastAsia" w:ascii="黑体" w:hAnsi="黑体" w:eastAsia="黑体"/>
                <w:color w:val="000000"/>
                <w:spacing w:val="-6"/>
                <w:sz w:val="24"/>
                <w:szCs w:val="24"/>
              </w:rPr>
              <w:t>项目需求</w:t>
            </w:r>
          </w:p>
        </w:tc>
        <w:tc>
          <w:tcPr>
            <w:tcW w:w="8363" w:type="dxa"/>
            <w:vAlign w:val="center"/>
          </w:tcPr>
          <w:p w14:paraId="0973EF78">
            <w:pPr>
              <w:adjustRightInd w:val="0"/>
              <w:snapToGrid w:val="0"/>
              <w:spacing w:line="560" w:lineRule="exact"/>
              <w:ind w:firstLine="536" w:firstLineChars="200"/>
              <w:rPr>
                <w:rFonts w:eastAsia="仿宋"/>
                <w:color w:val="000000" w:themeColor="text1"/>
                <w:spacing w:val="-6"/>
                <w:sz w:val="28"/>
                <w:szCs w:val="28"/>
                <w14:textFill>
                  <w14:solidFill>
                    <w14:schemeClr w14:val="tx1"/>
                  </w14:solidFill>
                </w14:textFill>
              </w:rPr>
            </w:pPr>
            <w:bookmarkStart w:id="0" w:name="OLE_LINK12"/>
            <w:r>
              <w:rPr>
                <w:rFonts w:hint="eastAsia" w:eastAsia="仿宋"/>
                <w:color w:val="000000" w:themeColor="text1"/>
                <w:spacing w:val="-6"/>
                <w:sz w:val="28"/>
                <w:szCs w:val="28"/>
                <w14:textFill>
                  <w14:solidFill>
                    <w14:schemeClr w14:val="tx1"/>
                  </w14:solidFill>
                </w14:textFill>
              </w:rPr>
              <w:t>中煤水文局集团在地热开发领域深耕30余年，以原创“构造控热理论”与“源储理论”为核心指引，构建了集资源勘查、技术研发、工程建设、运营服务于一体的全产业链体系，实现了地热资源从精准找热、科学开发到多元应用的全流程规范化推进。集团依托“中国地热一张图”、“地热之鹰”两大数字平台，整合全国地热大数据与“空-天-地-井”四维探测数据，建立5A级地热富集区分级评价标准，摸清全国“五带五盆”地热宏观格局，创新研发“取热不取水”环境友好型核心技术，打造多元化示范项目，引领了我国地热资源绿色化、规模化、智能化开发的新阶段。</w:t>
            </w:r>
          </w:p>
          <w:p w14:paraId="61F3FB60">
            <w:pPr>
              <w:adjustRightInd w:val="0"/>
              <w:snapToGrid w:val="0"/>
              <w:spacing w:line="560" w:lineRule="exact"/>
              <w:ind w:firstLine="536" w:firstLineChars="200"/>
              <w:rPr>
                <w:rFonts w:eastAsia="仿宋"/>
                <w:color w:val="000000" w:themeColor="text1"/>
                <w:spacing w:val="-6"/>
                <w:sz w:val="28"/>
                <w:szCs w:val="28"/>
                <w14:textFill>
                  <w14:solidFill>
                    <w14:schemeClr w14:val="tx1"/>
                  </w14:solidFill>
                </w14:textFill>
              </w:rPr>
            </w:pPr>
            <w:r>
              <w:rPr>
                <w:rFonts w:eastAsia="仿宋"/>
                <w:color w:val="000000" w:themeColor="text1"/>
                <w:spacing w:val="-6"/>
                <w:sz w:val="28"/>
                <w:szCs w:val="28"/>
                <w14:textFill>
                  <w14:solidFill>
                    <w14:schemeClr w14:val="tx1"/>
                  </w14:solidFill>
                </w14:textFill>
              </w:rPr>
              <w:t>当前，中深层地热发电是地热产业向高附加值领域延伸的核心方向，也是集团全产业链布局的关键补位。然而，现有技术体系在储层改造机理、多场耦合演化、参数表征方法等方面仍存在瓶颈。</w:t>
            </w:r>
            <w:bookmarkEnd w:id="0"/>
            <w:r>
              <w:rPr>
                <w:rFonts w:hint="eastAsia" w:eastAsia="仿宋"/>
                <w:color w:val="000000" w:themeColor="text1"/>
                <w:spacing w:val="-6"/>
                <w:sz w:val="28"/>
                <w:szCs w:val="28"/>
                <w14:textFill>
                  <w14:solidFill>
                    <w14:schemeClr w14:val="tx1"/>
                  </w14:solidFill>
                </w14:textFill>
              </w:rPr>
              <w:t>本次攻关的核心导向是</w:t>
            </w:r>
            <w:r>
              <w:rPr>
                <w:rFonts w:eastAsia="仿宋"/>
                <w:color w:val="000000" w:themeColor="text1"/>
                <w:spacing w:val="-6"/>
                <w:sz w:val="28"/>
                <w:szCs w:val="28"/>
                <w14:textFill>
                  <w14:solidFill>
                    <w14:schemeClr w14:val="tx1"/>
                  </w14:solidFill>
                </w14:textFill>
              </w:rPr>
              <w:t>深度融合地热地质机理、多场耦合数值模拟与智能算法等前沿技术</w:t>
            </w:r>
            <w:r>
              <w:rPr>
                <w:rFonts w:hint="eastAsia" w:eastAsia="仿宋"/>
                <w:color w:val="000000" w:themeColor="text1"/>
                <w:spacing w:val="-6"/>
                <w:sz w:val="28"/>
                <w:szCs w:val="28"/>
                <w14:textFill>
                  <w14:solidFill>
                    <w14:schemeClr w14:val="tx1"/>
                  </w14:solidFill>
                </w14:textFill>
              </w:rPr>
              <w:t>，揭示THMC多场耦合演化机理，发展基于关键参数降维的定量表征方法，构建从岩芯尺度到场地尺度的建模与标定体系，</w:t>
            </w:r>
            <w:r>
              <w:rPr>
                <w:rFonts w:eastAsia="仿宋"/>
                <w:color w:val="000000" w:themeColor="text1"/>
                <w:spacing w:val="-6"/>
                <w:sz w:val="28"/>
                <w:szCs w:val="28"/>
                <w14:textFill>
                  <w14:solidFill>
                    <w14:schemeClr w14:val="tx1"/>
                  </w14:solidFill>
                </w14:textFill>
              </w:rPr>
              <w:t>推动中深层地热资源的规模化高效开发，为集团地热产业全链条升级提供理论、技术与方法支撑</w:t>
            </w:r>
            <w:r>
              <w:rPr>
                <w:rFonts w:hint="eastAsia" w:eastAsia="仿宋"/>
                <w:color w:val="000000" w:themeColor="text1"/>
                <w:spacing w:val="-6"/>
                <w:sz w:val="28"/>
                <w:szCs w:val="28"/>
                <w14:textFill>
                  <w14:solidFill>
                    <w14:schemeClr w14:val="tx1"/>
                  </w14:solidFill>
                </w14:textFill>
              </w:rPr>
              <w:t>。</w:t>
            </w:r>
          </w:p>
          <w:p w14:paraId="403DC491">
            <w:pPr>
              <w:adjustRightInd w:val="0"/>
              <w:snapToGrid w:val="0"/>
              <w:spacing w:line="560" w:lineRule="exact"/>
              <w:ind w:firstLine="536" w:firstLineChars="200"/>
              <w:rPr>
                <w:rFonts w:eastAsia="仿宋"/>
                <w:color w:val="000000" w:themeColor="text1"/>
                <w:spacing w:val="-6"/>
                <w:sz w:val="28"/>
                <w:szCs w:val="28"/>
                <w14:textFill>
                  <w14:solidFill>
                    <w14:schemeClr w14:val="tx1"/>
                  </w14:solidFill>
                </w14:textFill>
              </w:rPr>
            </w:pPr>
            <w:r>
              <w:rPr>
                <w:rFonts w:eastAsia="仿宋"/>
                <w:color w:val="000000" w:themeColor="text1"/>
                <w:spacing w:val="-6"/>
                <w:sz w:val="28"/>
                <w:szCs w:val="28"/>
                <w14:textFill>
                  <w14:solidFill>
                    <w14:schemeClr w14:val="tx1"/>
                  </w14:solidFill>
                </w14:textFill>
              </w:rPr>
              <w:t>基于以上需求，诚邀在地热储层改造、多场耦合数值模拟、地热系统集成及智能优化算法等领域具有创新能力的团队揭榜攻关，</w:t>
            </w:r>
            <w:r>
              <w:rPr>
                <w:rFonts w:hint="eastAsia" w:eastAsia="仿宋"/>
                <w:color w:val="000000" w:themeColor="text1"/>
                <w:spacing w:val="-6"/>
                <w:sz w:val="28"/>
                <w:szCs w:val="28"/>
                <w14:textFill>
                  <w14:solidFill>
                    <w14:schemeClr w14:val="tx1"/>
                  </w14:solidFill>
                </w14:textFill>
              </w:rPr>
              <w:t>共同为我国中深层地热发电工程的高效运行与规模化开发提供关键技术支撑，助力国家“双碳”目标与能源结构低碳转型。</w:t>
            </w:r>
          </w:p>
        </w:tc>
      </w:tr>
      <w:tr w14:paraId="07B7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vAlign w:val="center"/>
          </w:tcPr>
          <w:p w14:paraId="6011B3A8">
            <w:pPr>
              <w:jc w:val="center"/>
              <w:rPr>
                <w:rFonts w:hint="eastAsia" w:ascii="黑体" w:hAnsi="黑体" w:eastAsia="黑体"/>
                <w:color w:val="000000"/>
                <w:spacing w:val="-6"/>
                <w:sz w:val="24"/>
                <w:szCs w:val="24"/>
              </w:rPr>
            </w:pPr>
            <w:r>
              <w:rPr>
                <w:rFonts w:ascii="黑体" w:hAnsi="黑体" w:eastAsia="黑体"/>
                <w:color w:val="000000"/>
                <w:spacing w:val="-6"/>
                <w:sz w:val="24"/>
                <w:szCs w:val="24"/>
              </w:rPr>
              <w:t>研究任务</w:t>
            </w:r>
          </w:p>
        </w:tc>
        <w:tc>
          <w:tcPr>
            <w:tcW w:w="8363" w:type="dxa"/>
            <w:vAlign w:val="center"/>
          </w:tcPr>
          <w:p w14:paraId="24903026">
            <w:pPr>
              <w:adjustRightInd w:val="0"/>
              <w:snapToGrid w:val="0"/>
              <w:spacing w:line="540" w:lineRule="exact"/>
              <w:ind w:firstLine="538" w:firstLineChars="200"/>
              <w:rPr>
                <w:rFonts w:eastAsia="仿宋"/>
                <w:b/>
                <w:bCs/>
                <w:color w:val="000000"/>
                <w:spacing w:val="-6"/>
                <w:sz w:val="28"/>
                <w:szCs w:val="28"/>
              </w:rPr>
            </w:pPr>
            <w:r>
              <w:rPr>
                <w:rFonts w:hint="eastAsia" w:eastAsia="仿宋"/>
                <w:b/>
                <w:bCs/>
                <w:color w:val="000000"/>
                <w:spacing w:val="-6"/>
                <w:sz w:val="28"/>
                <w:szCs w:val="28"/>
              </w:rPr>
              <w:t>研究任务一：中深层地热储层水力–化学协同改造机理与裂隙网络演化规律</w:t>
            </w:r>
          </w:p>
          <w:p w14:paraId="47859C82">
            <w:pPr>
              <w:adjustRightInd w:val="0"/>
              <w:snapToGrid w:val="0"/>
              <w:spacing w:line="540" w:lineRule="exact"/>
              <w:ind w:firstLine="536" w:firstLineChars="200"/>
              <w:rPr>
                <w:rFonts w:eastAsia="仿宋"/>
                <w:color w:val="000000"/>
                <w:spacing w:val="-6"/>
                <w:sz w:val="28"/>
                <w:szCs w:val="28"/>
              </w:rPr>
            </w:pPr>
            <w:r>
              <w:rPr>
                <w:rFonts w:eastAsia="仿宋"/>
                <w:color w:val="000000"/>
                <w:spacing w:val="-6"/>
                <w:sz w:val="28"/>
                <w:szCs w:val="28"/>
              </w:rPr>
              <w:t>选取中深层地热储层岩芯样品，在高温高压下开展水力压裂与化学刺激实验，监测裂隙起裂压力、注入流量及渗透率演化；结合微观形貌与矿物成分分析，揭示裂隙起裂、扩展及矿物溶蚀扩缝机制。阐明压裂规模、流体类型、作用时序等对裂隙网络形态与空间展布的控制效应，明确水力-化学协同作用下孔裂隙网络演化特征。</w:t>
            </w:r>
          </w:p>
          <w:p w14:paraId="2ED34442">
            <w:pPr>
              <w:adjustRightInd w:val="0"/>
              <w:snapToGrid w:val="0"/>
              <w:spacing w:line="540" w:lineRule="exact"/>
              <w:ind w:firstLine="538" w:firstLineChars="200"/>
              <w:rPr>
                <w:rFonts w:eastAsia="仿宋"/>
                <w:b/>
                <w:bCs/>
                <w:color w:val="000000"/>
                <w:spacing w:val="-6"/>
                <w:sz w:val="28"/>
                <w:szCs w:val="28"/>
              </w:rPr>
            </w:pPr>
            <w:r>
              <w:rPr>
                <w:rFonts w:hint="eastAsia" w:eastAsia="仿宋"/>
                <w:b/>
                <w:bCs/>
                <w:color w:val="000000"/>
                <w:spacing w:val="-6"/>
                <w:sz w:val="28"/>
                <w:szCs w:val="28"/>
              </w:rPr>
              <w:t>研究任务二：长期流体循环条件下地热储层渗流传热通道时空演化机理</w:t>
            </w:r>
          </w:p>
          <w:p w14:paraId="056B00F1">
            <w:pPr>
              <w:adjustRightInd w:val="0"/>
              <w:snapToGrid w:val="0"/>
              <w:spacing w:line="540" w:lineRule="exact"/>
              <w:ind w:firstLine="536" w:firstLineChars="200"/>
              <w:rPr>
                <w:rFonts w:hint="eastAsia" w:eastAsia="仿宋"/>
                <w:color w:val="000000"/>
                <w:spacing w:val="-6"/>
                <w:sz w:val="28"/>
                <w:szCs w:val="28"/>
              </w:rPr>
            </w:pPr>
            <w:r>
              <w:rPr>
                <w:rFonts w:hint="eastAsia" w:eastAsia="仿宋"/>
                <w:color w:val="000000"/>
                <w:spacing w:val="-6"/>
                <w:sz w:val="28"/>
                <w:szCs w:val="28"/>
              </w:rPr>
              <w:t>聚焦中深层地热发电“蓄-采-发”全过程，</w:t>
            </w:r>
            <w:r>
              <w:rPr>
                <w:rFonts w:eastAsia="仿宋"/>
                <w:color w:val="000000"/>
                <w:spacing w:val="-6"/>
                <w:sz w:val="28"/>
                <w:szCs w:val="28"/>
              </w:rPr>
              <w:t>开展多工况长周期注采驱替实验，追踪流体化学组分、渗流压力场及热交换性能的演变规律，解析矿物溶解-沉淀、应力扰动与长期冲刷对裂隙开度及连通性的动态调控作用。定量刻画渗流传热通道的时间衰减与空间非均匀性特征，</w:t>
            </w:r>
            <w:r>
              <w:rPr>
                <w:rFonts w:hint="eastAsia" w:eastAsia="仿宋"/>
                <w:color w:val="000000"/>
                <w:spacing w:val="-6"/>
                <w:sz w:val="28"/>
                <w:szCs w:val="28"/>
              </w:rPr>
              <w:t>揭示裂隙动态演变-渗流传热通道稳定性-地热发电效率之间的传递规律，明确热交换性能衰减的主控因子，为提升发电效率和抑制热衰减提供理论依据。</w:t>
            </w:r>
          </w:p>
          <w:p w14:paraId="0A604D54">
            <w:pPr>
              <w:adjustRightInd w:val="0"/>
              <w:snapToGrid w:val="0"/>
              <w:spacing w:line="540" w:lineRule="exact"/>
              <w:ind w:firstLine="538" w:firstLineChars="200"/>
              <w:rPr>
                <w:rFonts w:eastAsia="仿宋"/>
                <w:b/>
                <w:bCs/>
                <w:color w:val="000000"/>
                <w:spacing w:val="-6"/>
                <w:sz w:val="28"/>
                <w:szCs w:val="28"/>
              </w:rPr>
            </w:pPr>
            <w:r>
              <w:rPr>
                <w:rFonts w:hint="eastAsia" w:eastAsia="仿宋"/>
                <w:b/>
                <w:bCs/>
                <w:color w:val="000000"/>
                <w:spacing w:val="-6"/>
                <w:sz w:val="28"/>
                <w:szCs w:val="28"/>
              </w:rPr>
              <w:t>研究任务三：地热储层渗透性与热交换效率协同增效机理及关键参数表征</w:t>
            </w:r>
          </w:p>
          <w:p w14:paraId="78704FED">
            <w:pPr>
              <w:adjustRightInd w:val="0"/>
              <w:snapToGrid w:val="0"/>
              <w:spacing w:line="540" w:lineRule="exact"/>
              <w:ind w:firstLine="536" w:firstLineChars="200"/>
              <w:rPr>
                <w:rFonts w:eastAsia="仿宋"/>
                <w:color w:val="000000"/>
                <w:spacing w:val="-6"/>
                <w:sz w:val="28"/>
                <w:szCs w:val="28"/>
              </w:rPr>
            </w:pPr>
            <w:r>
              <w:rPr>
                <w:rFonts w:eastAsia="仿宋"/>
                <w:color w:val="000000"/>
                <w:spacing w:val="-6"/>
                <w:sz w:val="28"/>
                <w:szCs w:val="28"/>
              </w:rPr>
              <w:t>基于改造机理与通道演化规律，分析裂隙结构、渗透性动态与热提取效率的协同响应关系，识别关键控制因素。构建岩芯尺度THMC多场耦合模型，刻画裂隙开度、渗透率与水岩反应的强非线性反馈；</w:t>
            </w:r>
            <w:r>
              <w:rPr>
                <w:rFonts w:hint="eastAsia" w:eastAsia="仿宋"/>
                <w:color w:val="000000"/>
                <w:spacing w:val="-6"/>
                <w:sz w:val="28"/>
                <w:szCs w:val="28"/>
              </w:rPr>
              <w:t>通过全局敏感性分析实现参数降维。建立兼顾热效率、稳定性与经济性的参数优化方法与升尺度模型，形成以发电效率为输出的快速预测模型，定量评估发电效率提升与热衰减抑制效果，为地热储层优化开发提供理论依据。</w:t>
            </w:r>
          </w:p>
        </w:tc>
      </w:tr>
      <w:tr w14:paraId="33F8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vAlign w:val="center"/>
          </w:tcPr>
          <w:p w14:paraId="19F6E08D">
            <w:pPr>
              <w:jc w:val="center"/>
              <w:rPr>
                <w:rFonts w:hint="eastAsia" w:ascii="黑体" w:hAnsi="黑体" w:eastAsia="黑体"/>
                <w:color w:val="000000"/>
                <w:spacing w:val="-6"/>
                <w:sz w:val="24"/>
                <w:szCs w:val="24"/>
              </w:rPr>
            </w:pPr>
            <w:bookmarkStart w:id="1" w:name="OLE_LINK3"/>
            <w:r>
              <w:rPr>
                <w:rFonts w:ascii="黑体" w:hAnsi="黑体" w:eastAsia="黑体"/>
                <w:color w:val="000000"/>
                <w:spacing w:val="-6"/>
                <w:sz w:val="24"/>
                <w:szCs w:val="24"/>
              </w:rPr>
              <w:t>考核指标</w:t>
            </w:r>
            <w:bookmarkEnd w:id="1"/>
          </w:p>
        </w:tc>
        <w:tc>
          <w:tcPr>
            <w:tcW w:w="8363" w:type="dxa"/>
            <w:vAlign w:val="center"/>
          </w:tcPr>
          <w:p w14:paraId="440B1296">
            <w:pPr>
              <w:adjustRightInd w:val="0"/>
              <w:snapToGrid w:val="0"/>
              <w:spacing w:line="520" w:lineRule="exact"/>
              <w:ind w:firstLine="536" w:firstLineChars="200"/>
              <w:rPr>
                <w:rFonts w:eastAsia="仿宋"/>
                <w:color w:val="000000"/>
                <w:spacing w:val="-6"/>
                <w:sz w:val="28"/>
                <w:szCs w:val="28"/>
              </w:rPr>
            </w:pPr>
            <w:r>
              <w:rPr>
                <w:rFonts w:hint="eastAsia" w:eastAsia="仿宋"/>
                <w:color w:val="000000"/>
                <w:spacing w:val="-6"/>
                <w:sz w:val="28"/>
                <w:szCs w:val="28"/>
              </w:rPr>
              <w:t>1. 采集典型中深层地热储层岩芯样品不少于50块，完成模拟原位高温高压条件下的水力压裂-化学刺激协同改造实验及长周期注采驱替实验不少于20组。</w:t>
            </w:r>
          </w:p>
          <w:p w14:paraId="77CD60C6">
            <w:pPr>
              <w:adjustRightInd w:val="0"/>
              <w:snapToGrid w:val="0"/>
              <w:spacing w:line="520" w:lineRule="exact"/>
              <w:ind w:firstLine="536" w:firstLineChars="200"/>
              <w:rPr>
                <w:rFonts w:eastAsia="仿宋"/>
                <w:color w:val="000000"/>
                <w:spacing w:val="-6"/>
                <w:sz w:val="28"/>
                <w:szCs w:val="28"/>
              </w:rPr>
            </w:pPr>
            <w:r>
              <w:rPr>
                <w:rFonts w:eastAsia="仿宋"/>
                <w:color w:val="000000"/>
                <w:spacing w:val="-6"/>
                <w:sz w:val="28"/>
                <w:szCs w:val="28"/>
              </w:rPr>
              <w:t>2</w:t>
            </w:r>
            <w:r>
              <w:rPr>
                <w:rFonts w:hint="eastAsia" w:eastAsia="仿宋"/>
                <w:color w:val="000000"/>
                <w:spacing w:val="-6"/>
                <w:sz w:val="28"/>
                <w:szCs w:val="28"/>
              </w:rPr>
              <w:t>.</w:t>
            </w:r>
            <w:bookmarkStart w:id="2" w:name="OLE_LINK5"/>
            <w:r>
              <w:rPr>
                <w:rFonts w:hint="eastAsia" w:eastAsia="仿宋"/>
                <w:color w:val="000000"/>
                <w:spacing w:val="-6"/>
                <w:sz w:val="28"/>
                <w:szCs w:val="28"/>
              </w:rPr>
              <w:t xml:space="preserve"> 定量揭示水力-化学协同改造对裂隙网络起裂、扩展及演化的控制机理，提出具有工程指导意义的优化热储改造方案1~2种</w:t>
            </w:r>
            <w:bookmarkEnd w:id="2"/>
            <w:r>
              <w:rPr>
                <w:rFonts w:hint="eastAsia" w:eastAsia="仿宋"/>
                <w:color w:val="000000"/>
                <w:spacing w:val="-6"/>
                <w:sz w:val="28"/>
                <w:szCs w:val="28"/>
              </w:rPr>
              <w:t>，实现储层渗透率提升30%以上，储热库体容量提高25%以上。</w:t>
            </w:r>
          </w:p>
          <w:p w14:paraId="4A4D5FA6">
            <w:pPr>
              <w:adjustRightInd w:val="0"/>
              <w:snapToGrid w:val="0"/>
              <w:spacing w:line="520" w:lineRule="exact"/>
              <w:ind w:firstLine="536" w:firstLineChars="200"/>
              <w:rPr>
                <w:rFonts w:eastAsia="仿宋"/>
                <w:color w:val="000000"/>
                <w:spacing w:val="-6"/>
                <w:sz w:val="28"/>
                <w:szCs w:val="28"/>
              </w:rPr>
            </w:pPr>
            <w:r>
              <w:rPr>
                <w:rFonts w:hint="eastAsia" w:eastAsia="仿宋"/>
                <w:color w:val="000000"/>
                <w:spacing w:val="-6"/>
                <w:sz w:val="28"/>
                <w:szCs w:val="28"/>
              </w:rPr>
              <w:t>3. 构建实验室岩芯尺度的THMC多场耦合理论模型1套，形成基于全局敏感性分析的关键参数降维方法。</w:t>
            </w:r>
          </w:p>
          <w:p w14:paraId="0DE76A58">
            <w:pPr>
              <w:adjustRightInd w:val="0"/>
              <w:snapToGrid w:val="0"/>
              <w:spacing w:line="520" w:lineRule="exact"/>
              <w:ind w:firstLine="536" w:firstLineChars="200"/>
              <w:rPr>
                <w:rFonts w:eastAsia="仿宋"/>
                <w:color w:val="000000"/>
                <w:spacing w:val="-6"/>
                <w:sz w:val="28"/>
                <w:szCs w:val="28"/>
              </w:rPr>
            </w:pPr>
            <w:r>
              <w:rPr>
                <w:rFonts w:hint="eastAsia" w:eastAsia="仿宋"/>
                <w:color w:val="000000"/>
                <w:spacing w:val="-6"/>
                <w:sz w:val="28"/>
                <w:szCs w:val="28"/>
              </w:rPr>
              <w:t>4. 采用Sobol或Morris等全局敏感性分析方法，定量识别对储层热产出与稳定性影响显著的关键参数不少于5个，明确各参数敏感性排序及交互作用效应。</w:t>
            </w:r>
          </w:p>
          <w:p w14:paraId="6713E497">
            <w:pPr>
              <w:adjustRightInd w:val="0"/>
              <w:snapToGrid w:val="0"/>
              <w:spacing w:line="520" w:lineRule="exact"/>
              <w:ind w:firstLine="536" w:firstLineChars="200"/>
              <w:rPr>
                <w:rFonts w:hint="eastAsia" w:eastAsia="仿宋"/>
                <w:color w:val="000000"/>
                <w:spacing w:val="-6"/>
                <w:sz w:val="28"/>
                <w:szCs w:val="28"/>
              </w:rPr>
            </w:pPr>
            <w:r>
              <w:rPr>
                <w:rFonts w:hint="eastAsia" w:eastAsia="仿宋"/>
                <w:color w:val="000000"/>
                <w:spacing w:val="-6"/>
                <w:sz w:val="28"/>
                <w:szCs w:val="28"/>
              </w:rPr>
              <w:t>5. 构建“室内实验-场地尺度”的参数传递与升尺度方法，形成以发电效率为终极输出的多场耦合快速预测模型1套。</w:t>
            </w:r>
          </w:p>
          <w:p w14:paraId="1EE43603">
            <w:pPr>
              <w:adjustRightInd w:val="0"/>
              <w:snapToGrid w:val="0"/>
              <w:spacing w:line="520" w:lineRule="exact"/>
              <w:ind w:firstLine="536" w:firstLineChars="200"/>
              <w:rPr>
                <w:rFonts w:eastAsia="仿宋"/>
                <w:color w:val="000000"/>
                <w:spacing w:val="-6"/>
                <w:sz w:val="28"/>
                <w:szCs w:val="28"/>
              </w:rPr>
            </w:pPr>
            <w:r>
              <w:rPr>
                <w:rFonts w:hint="eastAsia" w:eastAsia="仿宋"/>
                <w:color w:val="000000"/>
                <w:spacing w:val="-6"/>
                <w:sz w:val="28"/>
                <w:szCs w:val="28"/>
              </w:rPr>
              <w:t>6. 发表高质量科技论文1~2篇，</w:t>
            </w:r>
            <w:r>
              <w:rPr>
                <w:rFonts w:hint="eastAsia" w:eastAsia="仿宋"/>
                <w:color w:val="000000"/>
                <w:spacing w:val="-6"/>
                <w:sz w:val="28"/>
                <w:szCs w:val="28"/>
                <w:lang w:val="en-US" w:eastAsia="zh-CN"/>
              </w:rPr>
              <w:t>申</w:t>
            </w:r>
            <w:bookmarkStart w:id="3" w:name="_GoBack"/>
            <w:bookmarkEnd w:id="3"/>
            <w:r>
              <w:rPr>
                <w:rFonts w:hint="eastAsia" w:eastAsia="仿宋"/>
                <w:color w:val="000000"/>
                <w:spacing w:val="-6"/>
                <w:sz w:val="28"/>
                <w:szCs w:val="28"/>
              </w:rPr>
              <w:t>请发明专利/软件著作权登记2~3项。</w:t>
            </w:r>
          </w:p>
        </w:tc>
      </w:tr>
      <w:tr w14:paraId="41F8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vAlign w:val="center"/>
          </w:tcPr>
          <w:p w14:paraId="69746207">
            <w:pPr>
              <w:jc w:val="center"/>
              <w:rPr>
                <w:rFonts w:hint="eastAsia" w:ascii="黑体" w:hAnsi="黑体" w:eastAsia="黑体"/>
                <w:color w:val="000000"/>
                <w:spacing w:val="-6"/>
                <w:sz w:val="24"/>
                <w:szCs w:val="24"/>
              </w:rPr>
            </w:pPr>
            <w:r>
              <w:rPr>
                <w:rFonts w:ascii="黑体" w:hAnsi="黑体" w:eastAsia="黑体"/>
                <w:color w:val="000000"/>
                <w:spacing w:val="-6"/>
                <w:sz w:val="24"/>
                <w:szCs w:val="24"/>
              </w:rPr>
              <w:t>揭榜方条件</w:t>
            </w:r>
          </w:p>
        </w:tc>
        <w:tc>
          <w:tcPr>
            <w:tcW w:w="8363" w:type="dxa"/>
            <w:vAlign w:val="center"/>
          </w:tcPr>
          <w:p w14:paraId="30E18F25">
            <w:pPr>
              <w:spacing w:line="520" w:lineRule="exact"/>
              <w:ind w:firstLine="536" w:firstLineChars="200"/>
              <w:rPr>
                <w:rFonts w:eastAsia="仿宋"/>
                <w:color w:val="000000"/>
                <w:spacing w:val="-6"/>
                <w:sz w:val="28"/>
                <w:szCs w:val="28"/>
              </w:rPr>
            </w:pPr>
            <w:r>
              <w:rPr>
                <w:rFonts w:hint="eastAsia" w:eastAsia="仿宋"/>
                <w:color w:val="000000"/>
                <w:spacing w:val="-6"/>
                <w:sz w:val="28"/>
                <w:szCs w:val="28"/>
              </w:rPr>
              <w:t>1. 具有独立法人资格的科研院所、高校等，在地热储层改造、多场耦合数值模拟、地热系统集成及智能优化算法等领域具有较强的研发实力、良好的科研条件、稳定的科研团队，无不良信用记录；</w:t>
            </w:r>
          </w:p>
          <w:p w14:paraId="583D47CC">
            <w:pPr>
              <w:spacing w:line="520" w:lineRule="exact"/>
              <w:ind w:firstLine="536" w:firstLineChars="200"/>
              <w:rPr>
                <w:rFonts w:eastAsia="仿宋"/>
                <w:color w:val="000000"/>
                <w:spacing w:val="-6"/>
                <w:sz w:val="28"/>
                <w:szCs w:val="28"/>
              </w:rPr>
            </w:pPr>
            <w:r>
              <w:rPr>
                <w:rFonts w:hint="eastAsia" w:eastAsia="仿宋"/>
                <w:color w:val="000000"/>
                <w:spacing w:val="-6"/>
                <w:sz w:val="28"/>
                <w:szCs w:val="28"/>
              </w:rPr>
              <w:t>2. 能够针对揭榜项目攻关需求提出可行的解决方案，并掌握自主知识产权，有能力完成榜单提出的各项研发任务。</w:t>
            </w:r>
          </w:p>
        </w:tc>
      </w:tr>
      <w:tr w14:paraId="53121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vAlign w:val="center"/>
          </w:tcPr>
          <w:p w14:paraId="514376AB">
            <w:pPr>
              <w:jc w:val="center"/>
              <w:rPr>
                <w:rFonts w:hint="eastAsia" w:ascii="黑体" w:hAnsi="黑体" w:eastAsia="黑体"/>
                <w:color w:val="000000"/>
                <w:spacing w:val="-6"/>
                <w:sz w:val="24"/>
                <w:szCs w:val="24"/>
              </w:rPr>
            </w:pPr>
            <w:r>
              <w:rPr>
                <w:rFonts w:hint="eastAsia" w:ascii="黑体" w:hAnsi="黑体" w:eastAsia="黑体"/>
                <w:color w:val="000000"/>
                <w:spacing w:val="-6"/>
                <w:sz w:val="24"/>
                <w:szCs w:val="24"/>
              </w:rPr>
              <w:t>备     注</w:t>
            </w:r>
          </w:p>
        </w:tc>
        <w:tc>
          <w:tcPr>
            <w:tcW w:w="8363" w:type="dxa"/>
            <w:vAlign w:val="center"/>
          </w:tcPr>
          <w:p w14:paraId="242C5052">
            <w:pPr>
              <w:spacing w:line="520" w:lineRule="exact"/>
              <w:ind w:firstLine="536" w:firstLineChars="200"/>
              <w:rPr>
                <w:rFonts w:eastAsia="仿宋"/>
                <w:color w:val="000000"/>
                <w:spacing w:val="-6"/>
                <w:sz w:val="28"/>
                <w:szCs w:val="28"/>
              </w:rPr>
            </w:pPr>
            <w:r>
              <w:rPr>
                <w:rFonts w:hint="eastAsia" w:eastAsia="仿宋"/>
                <w:color w:val="000000"/>
                <w:spacing w:val="-6"/>
                <w:sz w:val="28"/>
                <w:szCs w:val="28"/>
              </w:rPr>
              <w:t>未尽事宜由发榜方与揭榜方协商处理。</w:t>
            </w:r>
          </w:p>
        </w:tc>
      </w:tr>
    </w:tbl>
    <w:p w14:paraId="69610575"/>
    <w:sectPr>
      <w:footerReference r:id="rId3" w:type="default"/>
      <w:pgSz w:w="11906" w:h="16838"/>
      <w:pgMar w:top="1247" w:right="1797" w:bottom="1247"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090DAB-B97D-431E-8D03-7DFC747AB0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5DDDABA1-C1CA-4330-B961-9A8BE10D0B24}"/>
  </w:font>
  <w:font w:name="方正小标宋简体">
    <w:panose1 w:val="03000509000000000000"/>
    <w:charset w:val="86"/>
    <w:family w:val="script"/>
    <w:pitch w:val="default"/>
    <w:sig w:usb0="00000001" w:usb1="080E0000" w:usb2="00000000" w:usb3="00000000" w:csb0="00040000" w:csb1="00000000"/>
    <w:embedRegular r:id="rId3" w:fontKey="{1E734D08-4EB2-41F0-A0D8-0C4FDF5EA66B}"/>
  </w:font>
  <w:font w:name="仿宋">
    <w:panose1 w:val="02010609060101010101"/>
    <w:charset w:val="86"/>
    <w:family w:val="auto"/>
    <w:pitch w:val="default"/>
    <w:sig w:usb0="800002BF" w:usb1="38CF7CFA" w:usb2="00000016" w:usb3="00000000" w:csb0="00040001" w:csb1="00000000"/>
    <w:embedRegular r:id="rId4" w:fontKey="{92D9A956-F694-45B6-8B73-5E8C81C292B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4"/>
        <w:szCs w:val="24"/>
      </w:rPr>
      <w:id w:val="-1111434567"/>
      <w:docPartObj>
        <w:docPartGallery w:val="autotext"/>
      </w:docPartObj>
    </w:sdtPr>
    <w:sdtEndPr>
      <w:rPr>
        <w:sz w:val="24"/>
        <w:szCs w:val="24"/>
      </w:rPr>
    </w:sdtEndPr>
    <w:sdtContent>
      <w:p w14:paraId="5CED3310">
        <w:pPr>
          <w:pStyle w:val="3"/>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BD9"/>
    <w:rsid w:val="00014E1F"/>
    <w:rsid w:val="00017689"/>
    <w:rsid w:val="0003276A"/>
    <w:rsid w:val="0003742F"/>
    <w:rsid w:val="000413F1"/>
    <w:rsid w:val="000441CA"/>
    <w:rsid w:val="000452C0"/>
    <w:rsid w:val="0004579D"/>
    <w:rsid w:val="00047447"/>
    <w:rsid w:val="000476F3"/>
    <w:rsid w:val="000545FF"/>
    <w:rsid w:val="000609A2"/>
    <w:rsid w:val="00065C46"/>
    <w:rsid w:val="00084C03"/>
    <w:rsid w:val="000A3A21"/>
    <w:rsid w:val="000B1EBC"/>
    <w:rsid w:val="000B517E"/>
    <w:rsid w:val="000C36C5"/>
    <w:rsid w:val="000C625E"/>
    <w:rsid w:val="000D1F6A"/>
    <w:rsid w:val="000E796F"/>
    <w:rsid w:val="000F03BD"/>
    <w:rsid w:val="001246C3"/>
    <w:rsid w:val="00125336"/>
    <w:rsid w:val="0013741A"/>
    <w:rsid w:val="0014313B"/>
    <w:rsid w:val="00143EB7"/>
    <w:rsid w:val="0014452B"/>
    <w:rsid w:val="00147BDD"/>
    <w:rsid w:val="0015290F"/>
    <w:rsid w:val="00162860"/>
    <w:rsid w:val="00164CCD"/>
    <w:rsid w:val="0017112C"/>
    <w:rsid w:val="001860FB"/>
    <w:rsid w:val="00194D90"/>
    <w:rsid w:val="001B5774"/>
    <w:rsid w:val="001B7200"/>
    <w:rsid w:val="001C2031"/>
    <w:rsid w:val="001C5CC2"/>
    <w:rsid w:val="001D2B45"/>
    <w:rsid w:val="001E2132"/>
    <w:rsid w:val="001E4672"/>
    <w:rsid w:val="002257C2"/>
    <w:rsid w:val="00230B22"/>
    <w:rsid w:val="002502B8"/>
    <w:rsid w:val="0026670C"/>
    <w:rsid w:val="00274B66"/>
    <w:rsid w:val="00280379"/>
    <w:rsid w:val="0029782C"/>
    <w:rsid w:val="002A335F"/>
    <w:rsid w:val="002D3E14"/>
    <w:rsid w:val="002E2D3B"/>
    <w:rsid w:val="002E3D3F"/>
    <w:rsid w:val="002E44B0"/>
    <w:rsid w:val="002F3828"/>
    <w:rsid w:val="002F7ECE"/>
    <w:rsid w:val="00300A76"/>
    <w:rsid w:val="00300EB1"/>
    <w:rsid w:val="00304F54"/>
    <w:rsid w:val="00306F2C"/>
    <w:rsid w:val="00322772"/>
    <w:rsid w:val="0032511D"/>
    <w:rsid w:val="00325A44"/>
    <w:rsid w:val="0039102B"/>
    <w:rsid w:val="003B191B"/>
    <w:rsid w:val="003C37DA"/>
    <w:rsid w:val="003D2614"/>
    <w:rsid w:val="003D3C09"/>
    <w:rsid w:val="003E0F66"/>
    <w:rsid w:val="003F6483"/>
    <w:rsid w:val="00405A3D"/>
    <w:rsid w:val="00425B87"/>
    <w:rsid w:val="004260C0"/>
    <w:rsid w:val="00442FA2"/>
    <w:rsid w:val="00442FB7"/>
    <w:rsid w:val="00443949"/>
    <w:rsid w:val="00460C10"/>
    <w:rsid w:val="0046726B"/>
    <w:rsid w:val="00472616"/>
    <w:rsid w:val="00484133"/>
    <w:rsid w:val="00493479"/>
    <w:rsid w:val="004B06EB"/>
    <w:rsid w:val="004C25EB"/>
    <w:rsid w:val="004C4848"/>
    <w:rsid w:val="004D2D78"/>
    <w:rsid w:val="004D7EEC"/>
    <w:rsid w:val="005029F1"/>
    <w:rsid w:val="00506CC0"/>
    <w:rsid w:val="00513E25"/>
    <w:rsid w:val="005274EA"/>
    <w:rsid w:val="00527BFD"/>
    <w:rsid w:val="00546229"/>
    <w:rsid w:val="00556316"/>
    <w:rsid w:val="005607DC"/>
    <w:rsid w:val="00567081"/>
    <w:rsid w:val="00572BD4"/>
    <w:rsid w:val="005746E7"/>
    <w:rsid w:val="0059372C"/>
    <w:rsid w:val="005953AE"/>
    <w:rsid w:val="005A3542"/>
    <w:rsid w:val="005B4E7F"/>
    <w:rsid w:val="005C4F62"/>
    <w:rsid w:val="005D4E2C"/>
    <w:rsid w:val="005E2069"/>
    <w:rsid w:val="005E4DE1"/>
    <w:rsid w:val="005F0DE5"/>
    <w:rsid w:val="00615FD1"/>
    <w:rsid w:val="00635ECB"/>
    <w:rsid w:val="00636D6D"/>
    <w:rsid w:val="00641B62"/>
    <w:rsid w:val="00641D35"/>
    <w:rsid w:val="00652D4B"/>
    <w:rsid w:val="00694DF1"/>
    <w:rsid w:val="006B0012"/>
    <w:rsid w:val="006B3405"/>
    <w:rsid w:val="006D7673"/>
    <w:rsid w:val="006E1237"/>
    <w:rsid w:val="00705FC9"/>
    <w:rsid w:val="00713031"/>
    <w:rsid w:val="00727FE6"/>
    <w:rsid w:val="007319DC"/>
    <w:rsid w:val="007350B5"/>
    <w:rsid w:val="007435A6"/>
    <w:rsid w:val="00750793"/>
    <w:rsid w:val="00795137"/>
    <w:rsid w:val="007B2F7F"/>
    <w:rsid w:val="00803C3B"/>
    <w:rsid w:val="00813213"/>
    <w:rsid w:val="008272F7"/>
    <w:rsid w:val="00833424"/>
    <w:rsid w:val="00840337"/>
    <w:rsid w:val="00845236"/>
    <w:rsid w:val="008454DA"/>
    <w:rsid w:val="00847504"/>
    <w:rsid w:val="0087160D"/>
    <w:rsid w:val="00872DDF"/>
    <w:rsid w:val="00887216"/>
    <w:rsid w:val="00891FD9"/>
    <w:rsid w:val="00893295"/>
    <w:rsid w:val="008A2E84"/>
    <w:rsid w:val="008B0011"/>
    <w:rsid w:val="008B6DC1"/>
    <w:rsid w:val="008B794F"/>
    <w:rsid w:val="008B7DB6"/>
    <w:rsid w:val="008C6B53"/>
    <w:rsid w:val="008D370D"/>
    <w:rsid w:val="008D4FEE"/>
    <w:rsid w:val="008E6690"/>
    <w:rsid w:val="008F7B55"/>
    <w:rsid w:val="009056A1"/>
    <w:rsid w:val="009125AD"/>
    <w:rsid w:val="00920185"/>
    <w:rsid w:val="00920E33"/>
    <w:rsid w:val="009327D2"/>
    <w:rsid w:val="00937BD9"/>
    <w:rsid w:val="009529C6"/>
    <w:rsid w:val="00953DCC"/>
    <w:rsid w:val="009554C4"/>
    <w:rsid w:val="009558A5"/>
    <w:rsid w:val="00973F7B"/>
    <w:rsid w:val="009817BF"/>
    <w:rsid w:val="00994DFC"/>
    <w:rsid w:val="009A1567"/>
    <w:rsid w:val="009C717E"/>
    <w:rsid w:val="009C7759"/>
    <w:rsid w:val="009E5BDF"/>
    <w:rsid w:val="009F749D"/>
    <w:rsid w:val="00A07C8D"/>
    <w:rsid w:val="00A136FA"/>
    <w:rsid w:val="00A13C97"/>
    <w:rsid w:val="00A16B11"/>
    <w:rsid w:val="00A16D0A"/>
    <w:rsid w:val="00A46B0F"/>
    <w:rsid w:val="00A52343"/>
    <w:rsid w:val="00A54A67"/>
    <w:rsid w:val="00A66F3A"/>
    <w:rsid w:val="00A95E2E"/>
    <w:rsid w:val="00AA6C51"/>
    <w:rsid w:val="00AB002B"/>
    <w:rsid w:val="00AB34DD"/>
    <w:rsid w:val="00AB556B"/>
    <w:rsid w:val="00AC576A"/>
    <w:rsid w:val="00AE0AF8"/>
    <w:rsid w:val="00AE372E"/>
    <w:rsid w:val="00B02973"/>
    <w:rsid w:val="00B120B0"/>
    <w:rsid w:val="00B16273"/>
    <w:rsid w:val="00B26660"/>
    <w:rsid w:val="00B4724B"/>
    <w:rsid w:val="00B500C6"/>
    <w:rsid w:val="00B77400"/>
    <w:rsid w:val="00B81230"/>
    <w:rsid w:val="00BA3E3A"/>
    <w:rsid w:val="00BB21D0"/>
    <w:rsid w:val="00BC5AAB"/>
    <w:rsid w:val="00BE1674"/>
    <w:rsid w:val="00BF27C5"/>
    <w:rsid w:val="00BF30F4"/>
    <w:rsid w:val="00C060F3"/>
    <w:rsid w:val="00C06C1D"/>
    <w:rsid w:val="00C25FB8"/>
    <w:rsid w:val="00C51442"/>
    <w:rsid w:val="00C51A07"/>
    <w:rsid w:val="00C530C2"/>
    <w:rsid w:val="00C76300"/>
    <w:rsid w:val="00C87480"/>
    <w:rsid w:val="00CD308A"/>
    <w:rsid w:val="00CD4027"/>
    <w:rsid w:val="00CD6B0B"/>
    <w:rsid w:val="00CE34E6"/>
    <w:rsid w:val="00D03B9B"/>
    <w:rsid w:val="00D16274"/>
    <w:rsid w:val="00D205BD"/>
    <w:rsid w:val="00D20B1A"/>
    <w:rsid w:val="00D2151A"/>
    <w:rsid w:val="00D25F56"/>
    <w:rsid w:val="00D57BAA"/>
    <w:rsid w:val="00D64EC6"/>
    <w:rsid w:val="00DC2366"/>
    <w:rsid w:val="00DC4D53"/>
    <w:rsid w:val="00DC54D2"/>
    <w:rsid w:val="00DC64F6"/>
    <w:rsid w:val="00DC716F"/>
    <w:rsid w:val="00DD4D60"/>
    <w:rsid w:val="00DD686E"/>
    <w:rsid w:val="00DF0AE6"/>
    <w:rsid w:val="00DF1125"/>
    <w:rsid w:val="00E17237"/>
    <w:rsid w:val="00E2277E"/>
    <w:rsid w:val="00E2780B"/>
    <w:rsid w:val="00E40E19"/>
    <w:rsid w:val="00E42A14"/>
    <w:rsid w:val="00E47F95"/>
    <w:rsid w:val="00E57393"/>
    <w:rsid w:val="00E73EA0"/>
    <w:rsid w:val="00E76585"/>
    <w:rsid w:val="00E9691F"/>
    <w:rsid w:val="00EA48D9"/>
    <w:rsid w:val="00EA531E"/>
    <w:rsid w:val="00EC35EE"/>
    <w:rsid w:val="00EC71D9"/>
    <w:rsid w:val="00EE3AD1"/>
    <w:rsid w:val="00EE455E"/>
    <w:rsid w:val="00EF002C"/>
    <w:rsid w:val="00EF11E2"/>
    <w:rsid w:val="00EF7EE4"/>
    <w:rsid w:val="00F12386"/>
    <w:rsid w:val="00F12F49"/>
    <w:rsid w:val="00F34951"/>
    <w:rsid w:val="00F35B3E"/>
    <w:rsid w:val="00F36EC6"/>
    <w:rsid w:val="00F44844"/>
    <w:rsid w:val="00F5516A"/>
    <w:rsid w:val="00F76DF8"/>
    <w:rsid w:val="00F80C6F"/>
    <w:rsid w:val="00F85552"/>
    <w:rsid w:val="00F86296"/>
    <w:rsid w:val="00FA096A"/>
    <w:rsid w:val="00FB485D"/>
    <w:rsid w:val="00FF21B7"/>
    <w:rsid w:val="00FF520C"/>
    <w:rsid w:val="01B12E58"/>
    <w:rsid w:val="03822CFE"/>
    <w:rsid w:val="0AE778EA"/>
    <w:rsid w:val="160F7CF5"/>
    <w:rsid w:val="1CE43892"/>
    <w:rsid w:val="1DFB21CE"/>
    <w:rsid w:val="23A423C5"/>
    <w:rsid w:val="24E25F4F"/>
    <w:rsid w:val="26B17479"/>
    <w:rsid w:val="27873B8F"/>
    <w:rsid w:val="294A57BC"/>
    <w:rsid w:val="2B381D70"/>
    <w:rsid w:val="2C7F577D"/>
    <w:rsid w:val="2D5E6456"/>
    <w:rsid w:val="2DD85145"/>
    <w:rsid w:val="30F42B2E"/>
    <w:rsid w:val="32AE0B6A"/>
    <w:rsid w:val="338E62A6"/>
    <w:rsid w:val="35F25212"/>
    <w:rsid w:val="3A2D368A"/>
    <w:rsid w:val="3EC63B3E"/>
    <w:rsid w:val="3FA77E4B"/>
    <w:rsid w:val="41016309"/>
    <w:rsid w:val="46347F32"/>
    <w:rsid w:val="4E9A62A5"/>
    <w:rsid w:val="53F1542C"/>
    <w:rsid w:val="540006A2"/>
    <w:rsid w:val="55BA34BC"/>
    <w:rsid w:val="5B6B171C"/>
    <w:rsid w:val="5E3B01E5"/>
    <w:rsid w:val="5E4C4A20"/>
    <w:rsid w:val="62CD4647"/>
    <w:rsid w:val="676E209B"/>
    <w:rsid w:val="6EA3670A"/>
    <w:rsid w:val="70DA60AB"/>
    <w:rsid w:val="735A31FF"/>
    <w:rsid w:val="7D6E474B"/>
    <w:rsid w:val="7D7B1F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footer"/>
    <w:basedOn w:val="1"/>
    <w:link w:val="14"/>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rPr>
      <w:sz w:val="24"/>
    </w:rPr>
  </w:style>
  <w:style w:type="paragraph" w:styleId="6">
    <w:name w:val="annotation subject"/>
    <w:basedOn w:val="2"/>
    <w:next w:val="2"/>
    <w:link w:val="13"/>
    <w:qFormat/>
    <w:uiPriority w:val="0"/>
    <w:rPr>
      <w:b/>
      <w:bCs/>
    </w:rPr>
  </w:style>
  <w:style w:type="character" w:styleId="9">
    <w:name w:val="Strong"/>
    <w:basedOn w:val="8"/>
    <w:qFormat/>
    <w:uiPriority w:val="0"/>
    <w:rPr>
      <w:b/>
    </w:rPr>
  </w:style>
  <w:style w:type="character" w:styleId="10">
    <w:name w:val="annotation reference"/>
    <w:basedOn w:val="8"/>
    <w:qFormat/>
    <w:uiPriority w:val="0"/>
    <w:rPr>
      <w:sz w:val="21"/>
      <w:szCs w:val="21"/>
    </w:rPr>
  </w:style>
  <w:style w:type="paragraph" w:styleId="11">
    <w:name w:val="List Paragraph"/>
    <w:basedOn w:val="1"/>
    <w:unhideWhenUsed/>
    <w:qFormat/>
    <w:uiPriority w:val="99"/>
    <w:pPr>
      <w:ind w:firstLine="420" w:firstLineChars="200"/>
    </w:pPr>
  </w:style>
  <w:style w:type="character" w:customStyle="1" w:styleId="12">
    <w:name w:val="批注文字 字符"/>
    <w:basedOn w:val="8"/>
    <w:link w:val="2"/>
    <w:qFormat/>
    <w:uiPriority w:val="0"/>
    <w:rPr>
      <w:rFonts w:eastAsia="仿宋_GB2312"/>
      <w:kern w:val="2"/>
      <w:sz w:val="32"/>
      <w:szCs w:val="32"/>
    </w:rPr>
  </w:style>
  <w:style w:type="character" w:customStyle="1" w:styleId="13">
    <w:name w:val="批注主题 字符"/>
    <w:basedOn w:val="12"/>
    <w:link w:val="6"/>
    <w:qFormat/>
    <w:uiPriority w:val="0"/>
    <w:rPr>
      <w:rFonts w:eastAsia="仿宋_GB2312"/>
      <w:b/>
      <w:bCs/>
      <w:kern w:val="2"/>
      <w:sz w:val="32"/>
      <w:szCs w:val="32"/>
    </w:rPr>
  </w:style>
  <w:style w:type="character" w:customStyle="1" w:styleId="14">
    <w:name w:val="页脚 字符"/>
    <w:basedOn w:val="8"/>
    <w:link w:val="3"/>
    <w:qFormat/>
    <w:uiPriority w:val="99"/>
    <w:rPr>
      <w:rFonts w:eastAsia="仿宋_GB2312"/>
      <w:kern w:val="2"/>
      <w:sz w:val="18"/>
      <w:szCs w:val="32"/>
    </w:rPr>
  </w:style>
  <w:style w:type="paragraph" w:customStyle="1" w:styleId="15">
    <w:name w:val="修订1"/>
    <w:hidden/>
    <w:unhideWhenUsed/>
    <w:qFormat/>
    <w:uiPriority w:val="99"/>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25e1eb30-b4c8-4701-b218-2292205f1caf</errorID>
      <errorWord>亟需在</errorWord>
      <group>L1_Word</group>
      <groupName>字词问题</groupName>
      <ability>L2_Typo</ability>
      <abilityName>字词错误</abilityName>
      <candidateList>
        <item>亟须在</item>
      </candidateList>
      <explain/>
      <paraID>7BFD6372</paraID>
      <start>202</start>
      <end>205</end>
      <status>unmodified</status>
      <modifiedWord/>
      <trackRevisions>false</trackRevisions>
    </reviewItem>
    <reviewItem>
      <errorID>7f17b133-38e6-46e0-a043-3e58c246fc75</errorID>
      <errorWord>透明化、可视</errorWord>
      <group>L1_Grammar</group>
      <groupName>语法问题</groupName>
      <ability>L2_Order</ability>
      <abilityName>语序不当</abilityName>
      <candidateList>
        <item>可视化、透明</item>
      </candidateList>
      <explain>句子可能没有遵循时空、逻辑顺序，或者介词、关联词等位置不当。</explain>
      <paraID>67081FF9</paraID>
      <start>69</start>
      <end>75</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CE294-7EDF-4725-B5D4-395792F3AB07}">
  <ds:schemaRefs/>
</ds:datastoreItem>
</file>

<file path=customXml/itemProps2.xml><?xml version="1.0" encoding="utf-8"?>
<ds:datastoreItem xmlns:ds="http://schemas.openxmlformats.org/officeDocument/2006/customXml" ds:itemID="{141EF144-D974-4FAD-8B2D-9E98AF346E57}">
  <ds:schemaRefs/>
</ds:datastoreItem>
</file>

<file path=docProps/app.xml><?xml version="1.0" encoding="utf-8"?>
<Properties xmlns="http://schemas.openxmlformats.org/officeDocument/2006/extended-properties" xmlns:vt="http://schemas.openxmlformats.org/officeDocument/2006/docPropsVTypes">
  <Template>Normal</Template>
  <Pages>3</Pages>
  <Words>1803</Words>
  <Characters>1849</Characters>
  <Lines>43</Lines>
  <Paragraphs>34</Paragraphs>
  <TotalTime>1236</TotalTime>
  <ScaleCrop>false</ScaleCrop>
  <LinksUpToDate>false</LinksUpToDate>
  <CharactersWithSpaces>1862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2025-12-07T04:20:00Z</dcterms:created>
  <dc:creator>LR</dc:creator>
  <cp:lastModifiedBy>林下听秋</cp:lastModifiedBy>
  <cp:lastPrinted>2025-12-07T12:44:00Z</cp:lastPrinted>
  <dcterms:modified xsi:type="dcterms:W3CDTF">2026-05-20T09:57:55Z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eyJoZGlkIjoiZThmMDVkZDhkZTI0NzIzYTUyNzQ5MGYxYTNhOTg2OTgiLCJ1c2VySWQiOiI0MzIzMzk1MDYifQ==</vt:lpwstr>
  </property>
  <property fmtid="{D5CDD505-2E9C-101B-9397-08002B2CF9AE}" pid="4" name="ICV">
    <vt:lpwstr>06D4122DECEC4FB5A799077915F8C138_13</vt:lpwstr>
  </property>
</Properties>
</file>